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2E2CC72A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467DF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</w:t>
      </w:r>
      <w:r w:rsidR="008C1B6F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7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7E8256FA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8C1B6F">
        <w:rPr>
          <w:rFonts w:ascii="Garamond" w:hAnsi="Garamond"/>
          <w:sz w:val="24"/>
          <w:szCs w:val="24"/>
        </w:rPr>
        <w:t>06</w:t>
      </w:r>
      <w:r w:rsidRPr="00F90545">
        <w:rPr>
          <w:rFonts w:ascii="Garamond" w:hAnsi="Garamond"/>
          <w:sz w:val="24"/>
          <w:szCs w:val="24"/>
        </w:rPr>
        <w:t>/0</w:t>
      </w:r>
      <w:r w:rsidR="008C1B6F">
        <w:rPr>
          <w:rFonts w:ascii="Garamond" w:hAnsi="Garamond"/>
          <w:sz w:val="24"/>
          <w:szCs w:val="24"/>
        </w:rPr>
        <w:t>8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3E1BE3">
        <w:rPr>
          <w:rFonts w:ascii="Garamond" w:hAnsi="Garamond"/>
          <w:sz w:val="24"/>
          <w:szCs w:val="24"/>
        </w:rPr>
        <w:t>Luiz Bezerra de Lima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FC1D0B" w:rsidRPr="00F90545" w14:paraId="1A6CA32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A793663" w14:textId="343C779D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007/2025</w:t>
            </w:r>
          </w:p>
        </w:tc>
        <w:tc>
          <w:tcPr>
            <w:tcW w:w="1372" w:type="dxa"/>
            <w:vAlign w:val="center"/>
          </w:tcPr>
          <w:p w14:paraId="77284EC6" w14:textId="6497CAA8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606307D3" w14:textId="1B613BA2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Laécio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Confessor</w:t>
            </w:r>
          </w:p>
        </w:tc>
        <w:tc>
          <w:tcPr>
            <w:tcW w:w="3929" w:type="dxa"/>
            <w:vAlign w:val="center"/>
          </w:tcPr>
          <w:p w14:paraId="52301A45" w14:textId="4F545404" w:rsidR="00FC1D0B" w:rsidRDefault="003E1BE3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Altera o art. 32, II, do Regimento Interno da Câmara Municipal de Caiçara do Rio do Vento/RN, para dispor sobre o uso da palavra das lideranças</w:t>
            </w:r>
          </w:p>
        </w:tc>
      </w:tr>
      <w:tr w:rsidR="008C1B6F" w:rsidRPr="00F90545" w14:paraId="1355F0A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6A36808C" w14:textId="7FEF5BAF" w:rsidR="008C1B6F" w:rsidRDefault="008C1B6F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47EE7451" w14:textId="1027B6FE" w:rsidR="008C1B6F" w:rsidRDefault="008C1B6F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21F13220" w14:textId="066606ED" w:rsidR="008C1B6F" w:rsidRDefault="008C1B6F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3D1CC247" w14:textId="2FB12FE7" w:rsidR="008C1B6F" w:rsidRDefault="008C1B6F" w:rsidP="008C1B6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Cria a Procuradoria Especial da Mulher no âmbito da Câmara Municipal de Caiçara do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Rio do Vento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-RN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, e dá outras providências</w:t>
            </w:r>
          </w:p>
        </w:tc>
      </w:tr>
      <w:tr w:rsidR="008C1B6F" w:rsidRPr="00F90545" w14:paraId="12C00683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AC2DFB0" w14:textId="7D5D72B1" w:rsidR="008C1B6F" w:rsidRDefault="008C1B6F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013/2025</w:t>
            </w:r>
          </w:p>
        </w:tc>
        <w:tc>
          <w:tcPr>
            <w:tcW w:w="1372" w:type="dxa"/>
            <w:vAlign w:val="center"/>
          </w:tcPr>
          <w:p w14:paraId="710C08B3" w14:textId="71BD7493" w:rsidR="008C1B6F" w:rsidRDefault="008C1B6F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5B6A9D8" w14:textId="3D5B0839" w:rsidR="008C1B6F" w:rsidRDefault="008C1B6F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7B9EB62E" w14:textId="39AD218E" w:rsidR="008C1B6F" w:rsidRDefault="008C1B6F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Lei das Diretrizes Orçamentárias para elaboração do orçamento geral do município para o exercício de 2026, e dá outras providências</w:t>
            </w:r>
          </w:p>
        </w:tc>
      </w:tr>
      <w:tr w:rsidR="008C1B6F" w:rsidRPr="00F90545" w14:paraId="08E56DDD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6A8B64D" w14:textId="7A9B2CE3" w:rsidR="008C1B6F" w:rsidRDefault="008C1B6F" w:rsidP="008C1B6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015/2025</w:t>
            </w:r>
          </w:p>
        </w:tc>
        <w:tc>
          <w:tcPr>
            <w:tcW w:w="1372" w:type="dxa"/>
            <w:vAlign w:val="center"/>
          </w:tcPr>
          <w:p w14:paraId="61665BD2" w14:textId="098C7EBC" w:rsidR="008C1B6F" w:rsidRDefault="008C1B6F" w:rsidP="008C1B6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2EDD7BCE" w14:textId="6DE6ABC4" w:rsidR="008C1B6F" w:rsidRDefault="008C1B6F" w:rsidP="008C1B6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01E352A0" w14:textId="63B8C63C" w:rsidR="008C1B6F" w:rsidRDefault="008C1B6F" w:rsidP="008C1B6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Institui a Política Municipal de Turismo, cria o Fundo e o Conselho Municipal de Caiçara do Rio do Vento/RN</w:t>
            </w:r>
            <w:r w:rsidR="004310EE">
              <w:rPr>
                <w:rFonts w:ascii="Garamond" w:eastAsia="Times New Roman" w:hAnsi="Garamond"/>
                <w:sz w:val="24"/>
                <w:szCs w:val="24"/>
                <w:lang w:eastAsia="pt-BR"/>
              </w:rPr>
              <w:t>, e dá outras providências</w:t>
            </w:r>
          </w:p>
        </w:tc>
      </w:tr>
      <w:tr w:rsidR="004310EE" w:rsidRPr="00F90545" w14:paraId="3921E920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64B4716E" w14:textId="3A82E702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016/2025</w:t>
            </w:r>
          </w:p>
        </w:tc>
        <w:tc>
          <w:tcPr>
            <w:tcW w:w="1372" w:type="dxa"/>
            <w:vAlign w:val="center"/>
          </w:tcPr>
          <w:p w14:paraId="797077FE" w14:textId="58D987EE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AB84388" w14:textId="2C408FFA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3A03A6C7" w14:textId="08C687CD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a denominação da Praça Pública localizada às margens da BR-304, na rua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Ascendino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de Oliveira Confessor, no município de Caiçara do Rio do Vento/RN, e dá outras providências</w:t>
            </w:r>
          </w:p>
        </w:tc>
      </w:tr>
      <w:tr w:rsidR="004310EE" w:rsidRPr="00F90545" w14:paraId="5F49575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7F02AB9" w14:textId="28FD39F6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lastRenderedPageBreak/>
              <w:t>020/2025</w:t>
            </w:r>
          </w:p>
        </w:tc>
        <w:tc>
          <w:tcPr>
            <w:tcW w:w="1372" w:type="dxa"/>
            <w:vAlign w:val="center"/>
          </w:tcPr>
          <w:p w14:paraId="43A3B281" w14:textId="15A55F19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A03DAA6" w14:textId="043DF590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00E7FFB4" w14:textId="5802409F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isenção de IPTU para pessoas com Transtorno do Espectro Autista (TEA) no âmbito do município de Caiçara do Rio do Vento, e dá outras providências</w:t>
            </w:r>
          </w:p>
        </w:tc>
      </w:tr>
      <w:tr w:rsidR="004310EE" w:rsidRPr="00F90545" w14:paraId="5253FF3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BA93C64" w14:textId="49E463BB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022/2025</w:t>
            </w:r>
          </w:p>
        </w:tc>
        <w:tc>
          <w:tcPr>
            <w:tcW w:w="1372" w:type="dxa"/>
            <w:vAlign w:val="center"/>
          </w:tcPr>
          <w:p w14:paraId="467E90B5" w14:textId="6E7825A8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00825B6E" w14:textId="7C839CAF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Sebastião Iran</w:t>
            </w:r>
          </w:p>
        </w:tc>
        <w:tc>
          <w:tcPr>
            <w:tcW w:w="3929" w:type="dxa"/>
            <w:vAlign w:val="center"/>
          </w:tcPr>
          <w:p w14:paraId="23FA3F1D" w14:textId="3A4C6544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Denomina de Rua José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Osmundo</w:t>
            </w:r>
            <w:proofErr w:type="spellEnd"/>
            <w:r w:rsidR="00D16B63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Câmara a Rua Projetada e dá outras providências</w:t>
            </w:r>
          </w:p>
        </w:tc>
      </w:tr>
      <w:tr w:rsidR="004310EE" w:rsidRPr="00F90545" w14:paraId="61054B7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DB3DD9D" w14:textId="1972B55F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023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849A35B" w14:textId="744667F8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C0CB34B" w14:textId="4AD601DA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0E475144" w14:textId="6A5A66BF" w:rsidR="004310EE" w:rsidRDefault="00D16B63" w:rsidP="00D16B63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Denomina de Rua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Joana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Izaura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de Andrade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a Rua Projetada e dá outras providências</w:t>
            </w:r>
          </w:p>
        </w:tc>
      </w:tr>
      <w:tr w:rsidR="004310EE" w:rsidRPr="00F90545" w14:paraId="73CE07C6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32DAD37" w14:textId="1C131BAA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024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A5AD04D" w14:textId="7E8B6B68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8F5F216" w14:textId="4CA75789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0E552736" w14:textId="00EDAC48" w:rsidR="004310EE" w:rsidRDefault="00D16B63" w:rsidP="00D16B63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Denomina de Rua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Antônia Maria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da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Costa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a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“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Rua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do Açude”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e dá outras providências</w:t>
            </w:r>
          </w:p>
        </w:tc>
      </w:tr>
      <w:tr w:rsidR="004310EE" w:rsidRPr="00F90545" w14:paraId="63838429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6DDA4421" w14:textId="7BE6C421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025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974A0DE" w14:textId="3F0803C5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3A4C60A8" w14:textId="1D226C74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1F24D81D" w14:textId="462303AC" w:rsidR="004310EE" w:rsidRDefault="00D16B63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a distribuição gratuita de dispositivos de monitoramento contínuo de glicose para crianças com até doze anos diagnosticadas com Diabetes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Mellius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Tipo I, no âmbito do município de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Caiçara do Rio do Vento, e dá outras providências</w:t>
            </w:r>
          </w:p>
        </w:tc>
      </w:tr>
      <w:tr w:rsidR="004310EE" w:rsidRPr="00F90545" w14:paraId="20EBA56A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4771F881" w14:textId="640F1D83" w:rsidR="004310EE" w:rsidRDefault="004310EE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025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7A573E02" w14:textId="69A445C4" w:rsidR="004310EE" w:rsidRDefault="00D16B63" w:rsidP="00D16B63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Projeto de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Decreto Legislativo</w:t>
            </w:r>
          </w:p>
        </w:tc>
        <w:tc>
          <w:tcPr>
            <w:tcW w:w="2947" w:type="dxa"/>
            <w:vAlign w:val="center"/>
          </w:tcPr>
          <w:p w14:paraId="7FF2C810" w14:textId="333E0AE8" w:rsidR="004310EE" w:rsidRDefault="00D16B63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1FF1F90A" w14:textId="0136519F" w:rsidR="004310EE" w:rsidRDefault="00D16B63" w:rsidP="004310E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título de cidadão Caiçarense e dá outras providências</w:t>
            </w:r>
            <w:bookmarkStart w:id="1" w:name="_GoBack"/>
            <w:bookmarkEnd w:id="1"/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FAC4A" w14:textId="77777777" w:rsidR="00E62FC0" w:rsidRDefault="00E62FC0" w:rsidP="00EB5225">
      <w:pPr>
        <w:spacing w:after="0" w:line="240" w:lineRule="auto"/>
      </w:pPr>
      <w:r>
        <w:separator/>
      </w:r>
    </w:p>
  </w:endnote>
  <w:endnote w:type="continuationSeparator" w:id="0">
    <w:p w14:paraId="0364E1D7" w14:textId="77777777" w:rsidR="00E62FC0" w:rsidRDefault="00E62FC0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246D" w14:textId="77777777" w:rsidR="00E62FC0" w:rsidRDefault="00E62FC0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524CC4B3" w14:textId="77777777" w:rsidR="00E62FC0" w:rsidRDefault="00E62FC0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2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05DA8"/>
    <w:rsid w:val="0010661A"/>
    <w:rsid w:val="001320B2"/>
    <w:rsid w:val="00153FAD"/>
    <w:rsid w:val="00160AF9"/>
    <w:rsid w:val="00184420"/>
    <w:rsid w:val="001979F8"/>
    <w:rsid w:val="001B670F"/>
    <w:rsid w:val="001C04BA"/>
    <w:rsid w:val="001D5CB0"/>
    <w:rsid w:val="001D6C6A"/>
    <w:rsid w:val="001D7648"/>
    <w:rsid w:val="00210389"/>
    <w:rsid w:val="00217A77"/>
    <w:rsid w:val="0026681F"/>
    <w:rsid w:val="002715C6"/>
    <w:rsid w:val="002947CA"/>
    <w:rsid w:val="002E6430"/>
    <w:rsid w:val="003154CE"/>
    <w:rsid w:val="00321F1D"/>
    <w:rsid w:val="00334CA1"/>
    <w:rsid w:val="00371CC6"/>
    <w:rsid w:val="00372056"/>
    <w:rsid w:val="0038165C"/>
    <w:rsid w:val="003A7A4C"/>
    <w:rsid w:val="003B4A22"/>
    <w:rsid w:val="003E1BE3"/>
    <w:rsid w:val="003E5BA6"/>
    <w:rsid w:val="00401C5B"/>
    <w:rsid w:val="004200A2"/>
    <w:rsid w:val="00425AF9"/>
    <w:rsid w:val="004310EE"/>
    <w:rsid w:val="0043434F"/>
    <w:rsid w:val="00467DFE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43FBC"/>
    <w:rsid w:val="00665668"/>
    <w:rsid w:val="0068284E"/>
    <w:rsid w:val="0068595B"/>
    <w:rsid w:val="00692A80"/>
    <w:rsid w:val="006B2394"/>
    <w:rsid w:val="006C0AFF"/>
    <w:rsid w:val="006C179E"/>
    <w:rsid w:val="006C2775"/>
    <w:rsid w:val="0072628A"/>
    <w:rsid w:val="00740B25"/>
    <w:rsid w:val="0074581D"/>
    <w:rsid w:val="00782B87"/>
    <w:rsid w:val="00792DE9"/>
    <w:rsid w:val="00793036"/>
    <w:rsid w:val="007A2CAC"/>
    <w:rsid w:val="007A4900"/>
    <w:rsid w:val="007B267B"/>
    <w:rsid w:val="007B49DD"/>
    <w:rsid w:val="007B4F8F"/>
    <w:rsid w:val="007E5641"/>
    <w:rsid w:val="007E75B2"/>
    <w:rsid w:val="007F40FB"/>
    <w:rsid w:val="00846519"/>
    <w:rsid w:val="0086506F"/>
    <w:rsid w:val="008729B8"/>
    <w:rsid w:val="008908E6"/>
    <w:rsid w:val="008C1B6F"/>
    <w:rsid w:val="008D2B4F"/>
    <w:rsid w:val="008D3AEC"/>
    <w:rsid w:val="008F2DE7"/>
    <w:rsid w:val="00906BE1"/>
    <w:rsid w:val="009159A6"/>
    <w:rsid w:val="00920EAB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D1D1F"/>
    <w:rsid w:val="00AF4B53"/>
    <w:rsid w:val="00B01ED5"/>
    <w:rsid w:val="00B258E9"/>
    <w:rsid w:val="00B5263E"/>
    <w:rsid w:val="00BA3606"/>
    <w:rsid w:val="00BA382D"/>
    <w:rsid w:val="00BA60E8"/>
    <w:rsid w:val="00BA6836"/>
    <w:rsid w:val="00C00FCD"/>
    <w:rsid w:val="00C16BDE"/>
    <w:rsid w:val="00C31384"/>
    <w:rsid w:val="00C54A4D"/>
    <w:rsid w:val="00C6067D"/>
    <w:rsid w:val="00C80A32"/>
    <w:rsid w:val="00C80F44"/>
    <w:rsid w:val="00C8196C"/>
    <w:rsid w:val="00C944FD"/>
    <w:rsid w:val="00CA0D5B"/>
    <w:rsid w:val="00CC1962"/>
    <w:rsid w:val="00CD0F1A"/>
    <w:rsid w:val="00CD1706"/>
    <w:rsid w:val="00CE2D6F"/>
    <w:rsid w:val="00CE39F6"/>
    <w:rsid w:val="00CF4914"/>
    <w:rsid w:val="00D16B63"/>
    <w:rsid w:val="00D17E8B"/>
    <w:rsid w:val="00D31DFE"/>
    <w:rsid w:val="00D42C0E"/>
    <w:rsid w:val="00D44F58"/>
    <w:rsid w:val="00D45C4B"/>
    <w:rsid w:val="00D55D46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42FF"/>
    <w:rsid w:val="00DB7603"/>
    <w:rsid w:val="00DC2559"/>
    <w:rsid w:val="00DE2A4F"/>
    <w:rsid w:val="00DF1555"/>
    <w:rsid w:val="00DF5635"/>
    <w:rsid w:val="00E14C82"/>
    <w:rsid w:val="00E17C87"/>
    <w:rsid w:val="00E2064F"/>
    <w:rsid w:val="00E40A88"/>
    <w:rsid w:val="00E41203"/>
    <w:rsid w:val="00E62FC0"/>
    <w:rsid w:val="00E64130"/>
    <w:rsid w:val="00E65C36"/>
    <w:rsid w:val="00EB5225"/>
    <w:rsid w:val="00ED78C0"/>
    <w:rsid w:val="00EE2CFD"/>
    <w:rsid w:val="00EE37DD"/>
    <w:rsid w:val="00EE42B1"/>
    <w:rsid w:val="00EF2D29"/>
    <w:rsid w:val="00F01BD4"/>
    <w:rsid w:val="00F431E6"/>
    <w:rsid w:val="00F46CFC"/>
    <w:rsid w:val="00F866C9"/>
    <w:rsid w:val="00F90545"/>
    <w:rsid w:val="00F95D70"/>
    <w:rsid w:val="00FA14C4"/>
    <w:rsid w:val="00FB00DE"/>
    <w:rsid w:val="00FC1D0B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36</cp:revision>
  <cp:lastPrinted>2025-02-14T18:01:00Z</cp:lastPrinted>
  <dcterms:created xsi:type="dcterms:W3CDTF">2025-02-14T18:00:00Z</dcterms:created>
  <dcterms:modified xsi:type="dcterms:W3CDTF">2025-08-12T16:59:00Z</dcterms:modified>
</cp:coreProperties>
</file>