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DIRETA – DISPENSA DE LICITAÇÃO Nº 023/2026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2"/>
          <w:szCs w:val="22"/>
        </w:rPr>
        <w:t xml:space="preserve">A Câmara Municipal de Caiçara do Rio do Vento/RN manifesta o interesse em obter propostas adicionais de eventuais interessados na contração direta, com base no Art. 75, inciso II, da Lei Federal nº 14.133/21 conforme a seguir delineado: OBJETO: 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4"/>
          <w:szCs w:val="24"/>
          <w:shd w:fill="auto" w:val="clear"/>
          <w:lang w:val="pt-BR" w:bidi="ar-SA"/>
        </w:rPr>
        <w:t>Contratação de empresa especializada em serviço de locação de computador e scaner apropriados para digitalização e armazenamento de todos os documentos e expedientes em formato durante os 11 (onze) meses do exercício</w:t>
      </w:r>
      <w:r>
        <w:rPr>
          <w:rStyle w:val="Strong"/>
          <w:rFonts w:eastAsia="Times New Roman" w:cs="Tahoma" w:ascii="Arial Narrow" w:hAnsi="Arial Narrow"/>
          <w:b/>
          <w:bCs w:val="false"/>
          <w:iCs/>
          <w:color w:val="000000"/>
          <w:kern w:val="0"/>
          <w:sz w:val="24"/>
          <w:szCs w:val="24"/>
          <w:shd w:fill="auto" w:val="clear"/>
          <w:lang w:val="pt-BR" w:bidi="ar-SA"/>
        </w:rPr>
        <w:t xml:space="preserve"> 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4"/>
          <w:szCs w:val="24"/>
          <w:shd w:fill="auto" w:val="clear"/>
          <w:lang w:val="pt-BR" w:bidi="ar-SA"/>
        </w:rPr>
        <w:t>atual, incluindo, leis, resoluções, atas, portarias, projetos de leis, requerimento, emendas, atos da mesa, decretos legislativos, processos licitatórios, processos de pagamentos, prestação de contas, e arquivos de gestão com profissional habilitado para operacionalizar e realizar o serviço, destinado a atender ao</w:t>
      </w:r>
      <w:r>
        <w:rPr>
          <w:rStyle w:val="Strong"/>
          <w:rFonts w:eastAsia="Times New Roman" w:cs="Tahoma" w:ascii="Arial Narrow" w:hAnsi="Arial Narrow"/>
          <w:b/>
          <w:bCs w:val="false"/>
          <w:iCs/>
          <w:color w:val="000000"/>
          <w:kern w:val="0"/>
          <w:sz w:val="24"/>
          <w:szCs w:val="24"/>
          <w:shd w:fill="auto" w:val="clear"/>
          <w:lang w:val="pt-BR" w:bidi="ar-SA"/>
        </w:rPr>
        <w:t xml:space="preserve"> 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4"/>
          <w:szCs w:val="24"/>
          <w:shd w:fill="auto" w:val="clear"/>
          <w:lang w:val="pt-BR" w:bidi="ar-SA"/>
        </w:rPr>
        <w:t>Poder Legislativo do Município de Caiçara do Rio do Vento/RN</w:t>
      </w:r>
      <w:r>
        <w:rPr>
          <w:rFonts w:eastAsia="Arial Narrow" w:cs="Calibri" w:ascii="Arial Narrow" w:hAnsi="Arial Narrow" w:cstheme="minorHAnsi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 Narrow" w:hAnsi="Arial Narrow"/>
          <w:sz w:val="22"/>
          <w:szCs w:val="22"/>
        </w:rPr>
        <w:t xml:space="preserve"> CRITÉRIO DE JULGAMENTO: Menor Preço. FONTE DE RECURSOS ORÇAMENTÁRIOS E FINANCEIROS: Conforme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2"/>
          <w:szCs w:val="22"/>
        </w:rPr>
        <w:t>e-mail: licitacoescmcrv@gmail.com</w:t>
      </w:r>
      <w:r>
        <w:rPr>
          <w:rFonts w:ascii="Arial Narrow" w:hAnsi="Arial Narrow"/>
          <w:sz w:val="22"/>
          <w:szCs w:val="22"/>
        </w:rPr>
        <w:t xml:space="preserve">. As propostas e a documentação de habilitação serão recebidas até do dia </w:t>
      </w:r>
      <w:r>
        <w:rPr>
          <w:rFonts w:ascii="Arial Narrow" w:hAnsi="Arial Narrow"/>
          <w:bCs/>
          <w:sz w:val="22"/>
          <w:szCs w:val="22"/>
        </w:rPr>
        <w:t>20 de fevereiro de 2026</w:t>
      </w:r>
      <w:r>
        <w:rPr>
          <w:rFonts w:ascii="Arial Narrow" w:hAnsi="Arial Narrow"/>
          <w:sz w:val="22"/>
          <w:szCs w:val="22"/>
        </w:rPr>
        <w:t xml:space="preserve">, encaminhadas preferencialmente pelo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Caiçara do Rio do Vento/RN, </w:t>
      </w:r>
      <w:r>
        <w:rPr>
          <w:rFonts w:ascii="Arial Narrow" w:hAnsi="Arial Narrow"/>
          <w:bCs/>
          <w:sz w:val="22"/>
          <w:szCs w:val="22"/>
        </w:rPr>
        <w:t>13 de fevereiro de 2026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eastAsia="Times New Roman" w:cs="Arial" w:ascii="Arial Narrow" w:hAnsi="Arial Narrow"/>
          <w:b w:val="false"/>
          <w:bCs w:val="false"/>
          <w:sz w:val="22"/>
          <w:szCs w:val="22"/>
        </w:rPr>
        <w:t xml:space="preserve">Watezer Rangel da Câmara </w:t>
      </w:r>
      <w:r>
        <w:rPr>
          <w:rFonts w:ascii="Arial Narrow" w:hAnsi="Arial Narrow"/>
          <w:b w:val="false"/>
          <w:bCs w:val="false"/>
          <w:sz w:val="22"/>
          <w:szCs w:val="22"/>
        </w:rPr>
        <w:t>/Agente de Contratação.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275</Words>
  <Characters>1694</Characters>
  <CharactersWithSpaces>1956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2026-02-19T09:41:34Z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